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D9C" w14:textId="57C93D44" w:rsidR="00E06FBC" w:rsidRPr="0052056C" w:rsidRDefault="00E06FBC">
      <w:r>
        <w:rPr>
          <w:b/>
          <w:bCs/>
        </w:rPr>
        <w:t>PLANNING PREVISIONNEL ET AVANCEMENT DU PROJET</w:t>
      </w:r>
      <w:r w:rsidR="0026043B">
        <w:rPr>
          <w:b/>
          <w:bCs/>
        </w:rPr>
        <w:t xml:space="preserve"> </w:t>
      </w:r>
      <w:r w:rsidR="00D57FBE">
        <w:rPr>
          <w:b/>
          <w:bCs/>
        </w:rPr>
        <w:t>au</w:t>
      </w:r>
      <w:r w:rsidR="0026043B">
        <w:rPr>
          <w:b/>
          <w:bCs/>
        </w:rPr>
        <w:t xml:space="preserve"> </w:t>
      </w:r>
      <w:r w:rsidR="00D57FBE">
        <w:rPr>
          <w:b/>
          <w:bCs/>
        </w:rPr>
        <w:t>24/07</w:t>
      </w:r>
      <w:r w:rsidR="0026043B">
        <w:rPr>
          <w:b/>
          <w:bCs/>
        </w:rPr>
        <w:t>/2023</w:t>
      </w:r>
    </w:p>
    <w:p w14:paraId="1C034EEC" w14:textId="77777777" w:rsidR="00E06FBC" w:rsidRDefault="00E06FBC" w:rsidP="0026683F">
      <w:pPr>
        <w:spacing w:after="40"/>
        <w:rPr>
          <w:b/>
          <w:bCs/>
        </w:rPr>
      </w:pPr>
    </w:p>
    <w:p w14:paraId="7DFE16FB" w14:textId="7AA1A1D0" w:rsidR="0026683F" w:rsidRPr="0052056C" w:rsidRDefault="0026683F" w:rsidP="0067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b/>
          <w:bCs/>
        </w:rPr>
      </w:pPr>
      <w:r w:rsidRPr="0052056C">
        <w:rPr>
          <w:b/>
          <w:bCs/>
        </w:rPr>
        <w:t>SUBSIDES</w:t>
      </w:r>
      <w:r w:rsidR="00D57FBE">
        <w:rPr>
          <w:b/>
          <w:bCs/>
        </w:rPr>
        <w:t xml:space="preserve"> </w:t>
      </w:r>
      <w:r w:rsidR="00D57FBE" w:rsidRPr="0052056C">
        <w:rPr>
          <w:b/>
          <w:bCs/>
        </w:rPr>
        <w:t>AUTRES</w:t>
      </w:r>
      <w:r w:rsidR="00D57FBE">
        <w:rPr>
          <w:b/>
          <w:bCs/>
        </w:rPr>
        <w:t xml:space="preserve"> que du P.R.R. Européen</w:t>
      </w:r>
    </w:p>
    <w:p w14:paraId="74BC3C1D" w14:textId="0F85E0C4" w:rsidR="00CF5118" w:rsidRDefault="0026683F" w:rsidP="0026683F">
      <w:pPr>
        <w:spacing w:after="40"/>
      </w:pPr>
      <w:r w:rsidRPr="0052056C">
        <w:t xml:space="preserve">Les travaux </w:t>
      </w:r>
      <w:r w:rsidRPr="0052056C">
        <w:rPr>
          <w:u w:val="single"/>
        </w:rPr>
        <w:t>supplémentaires à l’enveloppe de subsidiation</w:t>
      </w:r>
      <w:r w:rsidRPr="0052056C">
        <w:t xml:space="preserve"> (min 1.796.945,20 € HTVA 6% et FG 5%</w:t>
      </w:r>
      <w:r w:rsidR="00CF5118">
        <w:t>)</w:t>
      </w:r>
      <w:r w:rsidRPr="0052056C">
        <w:t xml:space="preserve"> peuvent faire l’objet d’autres subsides</w:t>
      </w:r>
      <w:r w:rsidR="00D57FBE">
        <w:t xml:space="preserve"> d’organismes belges</w:t>
      </w:r>
      <w:r w:rsidR="00CF5118">
        <w:t>.</w:t>
      </w:r>
      <w:r w:rsidR="008B7B23">
        <w:t xml:space="preserve"> </w:t>
      </w:r>
      <w:r w:rsidR="00CF5118" w:rsidRPr="0052056C">
        <w:t>Par exemple UREBA</w:t>
      </w:r>
      <w:r w:rsidR="00CF5118">
        <w:t> .</w:t>
      </w:r>
    </w:p>
    <w:p w14:paraId="2936BF1F" w14:textId="6BDCE4E2" w:rsidR="0026683F" w:rsidRPr="0052056C" w:rsidRDefault="00E06FBC" w:rsidP="0026683F">
      <w:pPr>
        <w:spacing w:after="40"/>
      </w:pPr>
      <w:r>
        <w:t>On ne peut pas cumuler avec d’autres subsides européens</w:t>
      </w:r>
      <w:r w:rsidR="00D57FBE">
        <w:t> ; les dons sont évidemment libres.</w:t>
      </w:r>
    </w:p>
    <w:p w14:paraId="4FD14144" w14:textId="77777777" w:rsidR="00E83BB9" w:rsidRPr="0052056C" w:rsidRDefault="00E83BB9" w:rsidP="0026683F">
      <w:pPr>
        <w:spacing w:after="40"/>
        <w:rPr>
          <w:b/>
          <w:bCs/>
        </w:rPr>
      </w:pPr>
    </w:p>
    <w:p w14:paraId="7349F8DC" w14:textId="1A408258" w:rsidR="0026683F" w:rsidRDefault="00E06FBC" w:rsidP="0067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b/>
          <w:bCs/>
        </w:rPr>
      </w:pPr>
      <w:r>
        <w:rPr>
          <w:b/>
          <w:bCs/>
        </w:rPr>
        <w:t>PLANNING</w:t>
      </w:r>
      <w:r w:rsidR="00D57FBE">
        <w:rPr>
          <w:b/>
          <w:bCs/>
        </w:rPr>
        <w:t xml:space="preserve"> prévisionnel des études et travaux</w:t>
      </w:r>
    </w:p>
    <w:p w14:paraId="6EDF3A63" w14:textId="77777777" w:rsidR="00E06FBC" w:rsidRPr="0052056C" w:rsidRDefault="00E06FBC" w:rsidP="0026683F">
      <w:pPr>
        <w:spacing w:after="40"/>
        <w:rPr>
          <w:b/>
          <w:bCs/>
        </w:rPr>
      </w:pPr>
    </w:p>
    <w:p w14:paraId="1A0FF752" w14:textId="5A4B8971" w:rsidR="00E06FBC" w:rsidRDefault="00E06FBC" w:rsidP="0026683F">
      <w:pPr>
        <w:spacing w:after="40"/>
      </w:pPr>
      <w:r w:rsidRPr="00E06FBC">
        <w:rPr>
          <w:b/>
          <w:bCs/>
        </w:rPr>
        <w:t>Réunion plénière d’avant-projet</w:t>
      </w:r>
      <w:r>
        <w:t xml:space="preserve"> : </w:t>
      </w:r>
      <w:r w:rsidR="00D57FBE">
        <w:t>elle s’est tenue le mardi 11/07/2023 ; le projet a été accepté par le pouvoir subsidiant.</w:t>
      </w:r>
    </w:p>
    <w:p w14:paraId="129FA0DC" w14:textId="10EACDCC" w:rsidR="00CD7947" w:rsidRDefault="00CD7947" w:rsidP="0026683F">
      <w:pPr>
        <w:spacing w:after="40"/>
      </w:pPr>
    </w:p>
    <w:p w14:paraId="323FAAEB" w14:textId="6BC04F18" w:rsidR="00E06FBC" w:rsidRDefault="00E06FBC" w:rsidP="0026683F">
      <w:pPr>
        <w:spacing w:after="40"/>
      </w:pPr>
      <w:r>
        <w:rPr>
          <w:b/>
          <w:bCs/>
        </w:rPr>
        <w:t>Dépôt dossier urbanisme</w:t>
      </w:r>
    </w:p>
    <w:p w14:paraId="6B801568" w14:textId="7504749E" w:rsidR="00E06FBC" w:rsidRDefault="00E06FBC" w:rsidP="0026683F">
      <w:pPr>
        <w:spacing w:after="40"/>
      </w:pPr>
      <w:r>
        <w:t>On suppose que l’accord sur l’avant-projet pourra être donné à l’architecte le 0</w:t>
      </w:r>
      <w:r w:rsidR="00D57FBE">
        <w:t>3</w:t>
      </w:r>
      <w:r>
        <w:t>-08-2023</w:t>
      </w:r>
      <w:r w:rsidR="00D57FBE">
        <w:t xml:space="preserve"> en cours de réunion d’O.A.</w:t>
      </w:r>
    </w:p>
    <w:p w14:paraId="14645F83" w14:textId="74B34A55" w:rsidR="00E06FBC" w:rsidRDefault="00E06FBC" w:rsidP="00E06FBC">
      <w:pPr>
        <w:pStyle w:val="Paragraphedeliste"/>
        <w:numPr>
          <w:ilvl w:val="0"/>
          <w:numId w:val="1"/>
        </w:numPr>
        <w:spacing w:after="40"/>
      </w:pPr>
      <w:r>
        <w:t xml:space="preserve">Délai dossier : </w:t>
      </w:r>
      <w:r w:rsidR="00E75BE8">
        <w:t xml:space="preserve"> 30 jours calendrier </w:t>
      </w:r>
      <w:r w:rsidR="00E75BE8">
        <w:sym w:font="Wingdings" w:char="F0E0"/>
      </w:r>
      <w:r w:rsidR="00E75BE8">
        <w:t xml:space="preserve"> introduction urbanisme prévue vers le </w:t>
      </w:r>
      <w:r w:rsidR="00D57FBE">
        <w:t>05</w:t>
      </w:r>
      <w:r w:rsidR="00E75BE8">
        <w:t>-09-2023</w:t>
      </w:r>
    </w:p>
    <w:p w14:paraId="0ECD8778" w14:textId="23561D83" w:rsidR="00E75BE8" w:rsidRDefault="00E75BE8" w:rsidP="00E06FBC">
      <w:pPr>
        <w:pStyle w:val="Paragraphedeliste"/>
        <w:numPr>
          <w:ilvl w:val="0"/>
          <w:numId w:val="1"/>
        </w:numPr>
        <w:spacing w:after="40"/>
      </w:pPr>
      <w:r>
        <w:t xml:space="preserve">Délai traitement urbanisme : ± </w:t>
      </w:r>
      <w:r w:rsidR="00D57FBE">
        <w:t>5</w:t>
      </w:r>
      <w:r>
        <w:t xml:space="preserve"> mois  </w:t>
      </w:r>
      <w:r>
        <w:sym w:font="Wingdings" w:char="F0E0"/>
      </w:r>
      <w:r>
        <w:t xml:space="preserve"> permis attendu vers le 01-0</w:t>
      </w:r>
      <w:r w:rsidR="00D57FBE">
        <w:t>2</w:t>
      </w:r>
      <w:r>
        <w:t>-2024</w:t>
      </w:r>
    </w:p>
    <w:p w14:paraId="08C21EFC" w14:textId="77777777" w:rsidR="00E75BE8" w:rsidRDefault="00E75BE8" w:rsidP="00E75BE8">
      <w:pPr>
        <w:spacing w:after="40"/>
      </w:pPr>
    </w:p>
    <w:p w14:paraId="774C110B" w14:textId="13569B60" w:rsidR="00E75BE8" w:rsidRDefault="00E75BE8" w:rsidP="00E75BE8">
      <w:pPr>
        <w:spacing w:after="40"/>
      </w:pPr>
      <w:r>
        <w:rPr>
          <w:b/>
          <w:bCs/>
        </w:rPr>
        <w:t>Dossier d’exécution et demandes d’offres</w:t>
      </w:r>
    </w:p>
    <w:p w14:paraId="77B66FFE" w14:textId="25C42F09" w:rsidR="00E75BE8" w:rsidRDefault="00E75BE8" w:rsidP="00E75BE8">
      <w:pPr>
        <w:spacing w:after="40"/>
      </w:pPr>
      <w:r>
        <w:t xml:space="preserve">Afin de garantir le délai final du 31-08-2026 pour la fin de tous travaux, il est nécessaire d’entamer les dossiers d’exécution </w:t>
      </w:r>
      <w:r w:rsidR="00D57FBE">
        <w:t xml:space="preserve">et de soumission </w:t>
      </w:r>
      <w:r>
        <w:t>durant la phase de traitement de la demande d’urbanisme.</w:t>
      </w:r>
    </w:p>
    <w:p w14:paraId="1AE6E643" w14:textId="175C9A21" w:rsidR="00E75BE8" w:rsidRDefault="00E75BE8" w:rsidP="00E75BE8">
      <w:pPr>
        <w:spacing w:after="40"/>
      </w:pPr>
      <w:r>
        <w:t>C’est un petit risque sur plan financier car ce dossier devrait être légèrement adapté si des modifications sont exigées mais nous n’avons pas le choix</w:t>
      </w:r>
      <w:r w:rsidR="00D57FBE">
        <w:t xml:space="preserve"> si nous voulons respecter la date de fin imposée dans le cadre des subsides européens.</w:t>
      </w:r>
    </w:p>
    <w:p w14:paraId="04494E6B" w14:textId="77777777" w:rsidR="00E75BE8" w:rsidRDefault="00E75BE8" w:rsidP="00E75BE8">
      <w:pPr>
        <w:spacing w:after="40"/>
      </w:pPr>
    </w:p>
    <w:p w14:paraId="65DBDA68" w14:textId="3FF97A2A" w:rsidR="00E75BE8" w:rsidRDefault="00E75BE8" w:rsidP="00E75BE8">
      <w:pPr>
        <w:spacing w:after="40"/>
      </w:pPr>
      <w:r>
        <w:rPr>
          <w:b/>
          <w:bCs/>
        </w:rPr>
        <w:t>Exécution des travaux</w:t>
      </w:r>
    </w:p>
    <w:p w14:paraId="40D73A82" w14:textId="3CBC2768" w:rsidR="00E75BE8" w:rsidRDefault="00E75BE8" w:rsidP="00E75BE8">
      <w:pPr>
        <w:spacing w:after="40"/>
      </w:pPr>
      <w:r>
        <w:t>On devrait pouvoir débuter les travaux en mars 2024, ce qui nous laisse 28 à 30 mois (max) de travaux .</w:t>
      </w:r>
    </w:p>
    <w:p w14:paraId="5CC0CB38" w14:textId="0A2400A0" w:rsidR="00E75BE8" w:rsidRDefault="00E75BE8" w:rsidP="00E75BE8">
      <w:pPr>
        <w:spacing w:after="40"/>
      </w:pPr>
      <w:r>
        <w:t>Cela peut sembler assez important mais nous devons tenir compte du phasage des travaux qui imposera des déménagements internes des services et donc de courtes interruptions de chantier.</w:t>
      </w:r>
    </w:p>
    <w:p w14:paraId="2E1597BE" w14:textId="6377B48C" w:rsidR="00D57FBE" w:rsidRDefault="00D57FBE" w:rsidP="00E75BE8">
      <w:pPr>
        <w:spacing w:after="40"/>
      </w:pPr>
      <w:r>
        <w:t>Dans un premier temps, un planning sur 24 mois est proposé, ce qui laisse une marge correcte.</w:t>
      </w:r>
    </w:p>
    <w:p w14:paraId="74E14DAC" w14:textId="77777777" w:rsidR="00E75BE8" w:rsidRDefault="00E75BE8" w:rsidP="00E75BE8">
      <w:pPr>
        <w:spacing w:after="40"/>
      </w:pPr>
    </w:p>
    <w:p w14:paraId="46E3FA2C" w14:textId="2422895A" w:rsidR="00E75BE8" w:rsidRPr="00E75BE8" w:rsidRDefault="00E75BE8" w:rsidP="0067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b/>
          <w:bCs/>
        </w:rPr>
      </w:pPr>
      <w:r w:rsidRPr="00E75BE8">
        <w:rPr>
          <w:b/>
          <w:bCs/>
        </w:rPr>
        <w:t>Deadline imposée par la Région Wallonne et l’Europe</w:t>
      </w:r>
    </w:p>
    <w:p w14:paraId="6564F849" w14:textId="77777777" w:rsidR="00674433" w:rsidRDefault="00674433" w:rsidP="00E75BE8">
      <w:pPr>
        <w:spacing w:after="40"/>
      </w:pPr>
    </w:p>
    <w:p w14:paraId="6F4684A2" w14:textId="422A21F1" w:rsidR="00E75BE8" w:rsidRDefault="00E75BE8" w:rsidP="00E75BE8">
      <w:pPr>
        <w:spacing w:after="40"/>
      </w:pPr>
      <w:r>
        <w:t>Il est impératif</w:t>
      </w:r>
      <w:r w:rsidR="00674433">
        <w:t xml:space="preserve"> que tous les services soient opérationnels au plus tard le 31-08-2026.</w:t>
      </w:r>
    </w:p>
    <w:p w14:paraId="0EE5BE75" w14:textId="1A1250B2" w:rsidR="00674433" w:rsidRDefault="00674433" w:rsidP="00E75BE8">
      <w:pPr>
        <w:spacing w:after="40"/>
      </w:pPr>
      <w:r>
        <w:t>Les seuls objectifs bien définis sont :</w:t>
      </w:r>
    </w:p>
    <w:p w14:paraId="7D840D15" w14:textId="47768AC0" w:rsidR="00674433" w:rsidRDefault="00674433" w:rsidP="00674433">
      <w:pPr>
        <w:pStyle w:val="Paragraphedeliste"/>
        <w:numPr>
          <w:ilvl w:val="0"/>
          <w:numId w:val="1"/>
        </w:numPr>
        <w:spacing w:after="40"/>
      </w:pPr>
      <w:r>
        <w:t>Nombre total de places = 71 (maison d’accueil, accueil de jour et abri de nuit)</w:t>
      </w:r>
    </w:p>
    <w:p w14:paraId="41394067" w14:textId="4DC02D68" w:rsidR="00674433" w:rsidRDefault="00674433" w:rsidP="00FF7D41">
      <w:pPr>
        <w:pStyle w:val="Paragraphedeliste"/>
        <w:numPr>
          <w:ilvl w:val="0"/>
          <w:numId w:val="1"/>
        </w:numPr>
        <w:spacing w:after="40"/>
      </w:pPr>
      <w:r>
        <w:t>Performance énergétique : Kmax = 45</w:t>
      </w:r>
    </w:p>
    <w:p w14:paraId="41AA329D" w14:textId="4EA69685" w:rsidR="00D57FBE" w:rsidRDefault="00D57FBE" w:rsidP="00FF7D41">
      <w:pPr>
        <w:pStyle w:val="Paragraphedeliste"/>
        <w:numPr>
          <w:ilvl w:val="0"/>
          <w:numId w:val="1"/>
        </w:numPr>
        <w:spacing w:after="40"/>
      </w:pPr>
      <w:r>
        <w:t>Les plans proposés lors de la réunion plénière d’avant-projet répondent à ces exigences.</w:t>
      </w:r>
    </w:p>
    <w:p w14:paraId="282B01A1" w14:textId="2669E018" w:rsidR="00D24747" w:rsidRPr="00674433" w:rsidRDefault="00D24747" w:rsidP="00674433">
      <w:pPr>
        <w:spacing w:after="40"/>
        <w:ind w:left="360"/>
      </w:pPr>
    </w:p>
    <w:sectPr w:rsidR="00D24747" w:rsidRPr="00674433" w:rsidSect="00E0714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E14" w14:textId="77777777" w:rsidR="0038690D" w:rsidRDefault="0038690D" w:rsidP="0038690D">
      <w:pPr>
        <w:spacing w:after="0" w:line="240" w:lineRule="auto"/>
      </w:pPr>
      <w:r>
        <w:separator/>
      </w:r>
    </w:p>
  </w:endnote>
  <w:endnote w:type="continuationSeparator" w:id="0">
    <w:p w14:paraId="190AE9C9" w14:textId="77777777" w:rsidR="0038690D" w:rsidRDefault="0038690D" w:rsidP="0038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8CE3" w14:textId="55A30628" w:rsidR="00486FD8" w:rsidRPr="00486FD8" w:rsidRDefault="00486FD8" w:rsidP="00C36740">
    <w:pPr>
      <w:pStyle w:val="Pieddepage"/>
      <w:spacing w:before="240"/>
      <w:jc w:val="center"/>
      <w:rPr>
        <w:color w:val="767171" w:themeColor="background2" w:themeShade="80"/>
        <w:sz w:val="18"/>
        <w:szCs w:val="18"/>
      </w:rPr>
    </w:pPr>
    <w:r w:rsidRPr="00486FD8">
      <w:rPr>
        <w:color w:val="767171" w:themeColor="background2" w:themeShade="80"/>
        <w:sz w:val="18"/>
        <w:szCs w:val="18"/>
      </w:rPr>
      <w:t>Compte rendu de la réunion avec M-A. LEBLANC, le 30-03-2023</w:t>
    </w:r>
    <w:r>
      <w:rPr>
        <w:color w:val="767171" w:themeColor="background2" w:themeShade="80"/>
        <w:sz w:val="18"/>
        <w:szCs w:val="18"/>
      </w:rPr>
      <w:t xml:space="preserve">  -  Pg </w:t>
    </w:r>
    <w:r w:rsidRPr="00486FD8">
      <w:rPr>
        <w:color w:val="767171" w:themeColor="background2" w:themeShade="80"/>
        <w:sz w:val="18"/>
        <w:szCs w:val="18"/>
      </w:rPr>
      <w:fldChar w:fldCharType="begin"/>
    </w:r>
    <w:r w:rsidRPr="00486FD8">
      <w:rPr>
        <w:color w:val="767171" w:themeColor="background2" w:themeShade="80"/>
        <w:sz w:val="18"/>
        <w:szCs w:val="18"/>
      </w:rPr>
      <w:instrText>PAGE   \* MERGEFORMAT</w:instrText>
    </w:r>
    <w:r w:rsidRPr="00486FD8">
      <w:rPr>
        <w:color w:val="767171" w:themeColor="background2" w:themeShade="80"/>
        <w:sz w:val="18"/>
        <w:szCs w:val="18"/>
      </w:rPr>
      <w:fldChar w:fldCharType="separate"/>
    </w:r>
    <w:r w:rsidRPr="00486FD8">
      <w:rPr>
        <w:color w:val="767171" w:themeColor="background2" w:themeShade="80"/>
        <w:sz w:val="18"/>
        <w:szCs w:val="18"/>
      </w:rPr>
      <w:t>1</w:t>
    </w:r>
    <w:r w:rsidRPr="00486FD8">
      <w:rPr>
        <w:color w:val="767171" w:themeColor="background2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E856" w14:textId="77777777" w:rsidR="0038690D" w:rsidRDefault="0038690D" w:rsidP="0038690D">
      <w:pPr>
        <w:spacing w:after="0" w:line="240" w:lineRule="auto"/>
      </w:pPr>
      <w:r>
        <w:separator/>
      </w:r>
    </w:p>
  </w:footnote>
  <w:footnote w:type="continuationSeparator" w:id="0">
    <w:p w14:paraId="77630F1C" w14:textId="77777777" w:rsidR="0038690D" w:rsidRDefault="0038690D" w:rsidP="0038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7" w:type="dxa"/>
      <w:tblLayout w:type="fixed"/>
      <w:tblLook w:val="01E0" w:firstRow="1" w:lastRow="1" w:firstColumn="1" w:lastColumn="1" w:noHBand="0" w:noVBand="0"/>
    </w:tblPr>
    <w:tblGrid>
      <w:gridCol w:w="9750"/>
    </w:tblGrid>
    <w:tr w:rsidR="0038690D" w14:paraId="03B1ED03" w14:textId="77777777" w:rsidTr="0038690D">
      <w:trPr>
        <w:trHeight w:val="293"/>
      </w:trPr>
      <w:tc>
        <w:tcPr>
          <w:tcW w:w="9750" w:type="dxa"/>
          <w:hideMark/>
        </w:tcPr>
        <w:p w14:paraId="6493585E" w14:textId="30F5F62F" w:rsidR="0038690D" w:rsidRPr="0038690D" w:rsidRDefault="0038690D" w:rsidP="0038690D">
          <w:pPr>
            <w:pStyle w:val="TableParagraph"/>
            <w:spacing w:line="223" w:lineRule="exact"/>
            <w:ind w:left="50"/>
            <w:rPr>
              <w:color w:val="767171" w:themeColor="background2" w:themeShade="80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C910D22" wp14:editId="5F9A7D47">
                <wp:simplePos x="0" y="0"/>
                <wp:positionH relativeFrom="column">
                  <wp:posOffset>4331371</wp:posOffset>
                </wp:positionH>
                <wp:positionV relativeFrom="paragraph">
                  <wp:posOffset>-102888</wp:posOffset>
                </wp:positionV>
                <wp:extent cx="1404102" cy="567621"/>
                <wp:effectExtent l="0" t="0" r="5715" b="4445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684" cy="59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690D">
            <w:rPr>
              <w:b/>
              <w:color w:val="767171" w:themeColor="background2" w:themeShade="80"/>
              <w:sz w:val="18"/>
              <w:szCs w:val="20"/>
            </w:rPr>
            <w:t>LE</w:t>
          </w:r>
          <w:r w:rsidRPr="0038690D">
            <w:rPr>
              <w:b/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b/>
              <w:color w:val="767171" w:themeColor="background2" w:themeShade="80"/>
              <w:sz w:val="18"/>
              <w:szCs w:val="20"/>
            </w:rPr>
            <w:t>TRIANGLE</w:t>
          </w:r>
          <w:r w:rsidRPr="0038690D">
            <w:rPr>
              <w:b/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b/>
              <w:color w:val="767171" w:themeColor="background2" w:themeShade="80"/>
              <w:sz w:val="18"/>
              <w:szCs w:val="20"/>
            </w:rPr>
            <w:t>asbl</w:t>
          </w:r>
          <w:r w:rsidRPr="0038690D">
            <w:rPr>
              <w:b/>
              <w:color w:val="767171" w:themeColor="background2" w:themeShade="80"/>
              <w:spacing w:val="-7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(BE0864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153</w:t>
          </w:r>
          <w:r w:rsidRPr="0038690D">
            <w:rPr>
              <w:color w:val="767171" w:themeColor="background2" w:themeShade="80"/>
              <w:spacing w:val="-8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pacing w:val="-4"/>
              <w:sz w:val="18"/>
              <w:szCs w:val="20"/>
            </w:rPr>
            <w:t>105)</w:t>
          </w:r>
        </w:p>
      </w:tc>
    </w:tr>
    <w:tr w:rsidR="0038690D" w14:paraId="77FA3231" w14:textId="77777777" w:rsidTr="0038690D">
      <w:trPr>
        <w:trHeight w:val="368"/>
      </w:trPr>
      <w:tc>
        <w:tcPr>
          <w:tcW w:w="9750" w:type="dxa"/>
          <w:hideMark/>
        </w:tcPr>
        <w:p w14:paraId="5BDE3DEA" w14:textId="77777777" w:rsidR="0038690D" w:rsidRPr="0038690D" w:rsidRDefault="0038690D" w:rsidP="0038690D">
          <w:pPr>
            <w:pStyle w:val="TableParagraph"/>
            <w:spacing w:before="64"/>
            <w:ind w:left="50"/>
            <w:rPr>
              <w:color w:val="767171" w:themeColor="background2" w:themeShade="80"/>
              <w:sz w:val="18"/>
              <w:szCs w:val="20"/>
            </w:rPr>
          </w:pPr>
          <w:r w:rsidRPr="0038690D">
            <w:rPr>
              <w:color w:val="767171" w:themeColor="background2" w:themeShade="80"/>
              <w:sz w:val="18"/>
              <w:szCs w:val="20"/>
            </w:rPr>
            <w:t>Rue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du</w:t>
          </w:r>
          <w:r w:rsidRPr="0038690D">
            <w:rPr>
              <w:color w:val="767171" w:themeColor="background2" w:themeShade="80"/>
              <w:spacing w:val="-8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beau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site,</w:t>
          </w:r>
          <w:r w:rsidRPr="0038690D">
            <w:rPr>
              <w:color w:val="767171" w:themeColor="background2" w:themeShade="80"/>
              <w:spacing w:val="-7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28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–</w:t>
          </w:r>
          <w:r w:rsidRPr="0038690D">
            <w:rPr>
              <w:color w:val="767171" w:themeColor="background2" w:themeShade="80"/>
              <w:spacing w:val="-8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6032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MONT-SUR-</w:t>
          </w:r>
          <w:r w:rsidRPr="0038690D">
            <w:rPr>
              <w:color w:val="767171" w:themeColor="background2" w:themeShade="80"/>
              <w:spacing w:val="-2"/>
              <w:sz w:val="18"/>
              <w:szCs w:val="20"/>
            </w:rPr>
            <w:t>MARCHIENNE</w:t>
          </w:r>
        </w:p>
      </w:tc>
    </w:tr>
  </w:tbl>
  <w:p w14:paraId="45C4F0D7" w14:textId="16F6CC7F" w:rsidR="0038690D" w:rsidRDefault="0038690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FD43E" wp14:editId="1DEC008B">
              <wp:simplePos x="0" y="0"/>
              <wp:positionH relativeFrom="column">
                <wp:posOffset>41170</wp:posOffset>
              </wp:positionH>
              <wp:positionV relativeFrom="paragraph">
                <wp:posOffset>10416</wp:posOffset>
              </wp:positionV>
              <wp:extent cx="6275124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51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52049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.8pt" to="49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QpnAEAAJQDAAAOAAAAZHJzL2Uyb0RvYy54bWysU01P3DAQvSP1P1i+s0lWlKJ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3AA"/>
    <w:multiLevelType w:val="multilevel"/>
    <w:tmpl w:val="97C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1DC0"/>
    <w:multiLevelType w:val="hybridMultilevel"/>
    <w:tmpl w:val="A5AE6DE0"/>
    <w:lvl w:ilvl="0" w:tplc="EAA8C97C">
      <w:start w:val="202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204E2"/>
    <w:multiLevelType w:val="hybridMultilevel"/>
    <w:tmpl w:val="F11EAA1E"/>
    <w:lvl w:ilvl="0" w:tplc="26E8D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1490"/>
    <w:multiLevelType w:val="hybridMultilevel"/>
    <w:tmpl w:val="10644AEA"/>
    <w:lvl w:ilvl="0" w:tplc="EAA8C97C">
      <w:start w:val="2023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70E6F"/>
    <w:multiLevelType w:val="hybridMultilevel"/>
    <w:tmpl w:val="BFC2EBC4"/>
    <w:lvl w:ilvl="0" w:tplc="EAA8C9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51892"/>
    <w:multiLevelType w:val="hybridMultilevel"/>
    <w:tmpl w:val="7FC66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48835">
    <w:abstractNumId w:val="1"/>
  </w:num>
  <w:num w:numId="2" w16cid:durableId="1933780424">
    <w:abstractNumId w:val="2"/>
  </w:num>
  <w:num w:numId="3" w16cid:durableId="1440838516">
    <w:abstractNumId w:val="0"/>
  </w:num>
  <w:num w:numId="4" w16cid:durableId="1803889030">
    <w:abstractNumId w:val="5"/>
  </w:num>
  <w:num w:numId="5" w16cid:durableId="654146439">
    <w:abstractNumId w:val="3"/>
  </w:num>
  <w:num w:numId="6" w16cid:durableId="188567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2"/>
    <w:rsid w:val="00052CE7"/>
    <w:rsid w:val="000A2D28"/>
    <w:rsid w:val="000F26A2"/>
    <w:rsid w:val="00123827"/>
    <w:rsid w:val="001307F6"/>
    <w:rsid w:val="00140921"/>
    <w:rsid w:val="0016061E"/>
    <w:rsid w:val="00161072"/>
    <w:rsid w:val="0026043B"/>
    <w:rsid w:val="0026683F"/>
    <w:rsid w:val="0027157C"/>
    <w:rsid w:val="00283D29"/>
    <w:rsid w:val="002C785F"/>
    <w:rsid w:val="00340EF3"/>
    <w:rsid w:val="00347722"/>
    <w:rsid w:val="00355638"/>
    <w:rsid w:val="0038690D"/>
    <w:rsid w:val="003E36FD"/>
    <w:rsid w:val="003F56AD"/>
    <w:rsid w:val="003F6344"/>
    <w:rsid w:val="004816BD"/>
    <w:rsid w:val="00486FD8"/>
    <w:rsid w:val="00496875"/>
    <w:rsid w:val="0052056C"/>
    <w:rsid w:val="005C2E6C"/>
    <w:rsid w:val="00624A34"/>
    <w:rsid w:val="00674433"/>
    <w:rsid w:val="006B3853"/>
    <w:rsid w:val="006C5D54"/>
    <w:rsid w:val="00735D66"/>
    <w:rsid w:val="00805638"/>
    <w:rsid w:val="00854D4C"/>
    <w:rsid w:val="008B7B23"/>
    <w:rsid w:val="00922DD3"/>
    <w:rsid w:val="00955D5C"/>
    <w:rsid w:val="009C1FA2"/>
    <w:rsid w:val="00A525AA"/>
    <w:rsid w:val="00BA5B1B"/>
    <w:rsid w:val="00BE6A54"/>
    <w:rsid w:val="00C36740"/>
    <w:rsid w:val="00C4279F"/>
    <w:rsid w:val="00C55292"/>
    <w:rsid w:val="00CC485A"/>
    <w:rsid w:val="00CC493A"/>
    <w:rsid w:val="00CD7947"/>
    <w:rsid w:val="00CF5118"/>
    <w:rsid w:val="00D24747"/>
    <w:rsid w:val="00D407A6"/>
    <w:rsid w:val="00D57FBE"/>
    <w:rsid w:val="00DD0F80"/>
    <w:rsid w:val="00DE4232"/>
    <w:rsid w:val="00DE553F"/>
    <w:rsid w:val="00E06FBC"/>
    <w:rsid w:val="00E0714D"/>
    <w:rsid w:val="00E5680E"/>
    <w:rsid w:val="00E75BE8"/>
    <w:rsid w:val="00E83BB9"/>
    <w:rsid w:val="00EF579A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EDA4D"/>
  <w15:chartTrackingRefBased/>
  <w15:docId w15:val="{31CDA7A0-0CE5-4937-8444-60B7292A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8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07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7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90D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3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90D"/>
    <w:rPr>
      <w:rFonts w:asciiTheme="majorHAnsi" w:hAnsiTheme="majorHAnsi"/>
    </w:rPr>
  </w:style>
  <w:style w:type="paragraph" w:customStyle="1" w:styleId="TableParagraph">
    <w:name w:val="Table Paragraph"/>
    <w:basedOn w:val="Normal"/>
    <w:uiPriority w:val="1"/>
    <w:qFormat/>
    <w:rsid w:val="003869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869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58</cp:revision>
  <cp:lastPrinted>2023-04-01T09:13:00Z</cp:lastPrinted>
  <dcterms:created xsi:type="dcterms:W3CDTF">2023-03-30T08:30:00Z</dcterms:created>
  <dcterms:modified xsi:type="dcterms:W3CDTF">2023-07-24T09:24:00Z</dcterms:modified>
</cp:coreProperties>
</file>